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Solutions Siding</w:t>
      </w:r>
    </w:p>
    <w:p>
      <w:pPr>
        <w:pStyle w:val="Subtitle"/>
      </w:pPr>
      <w:r>
        <w:t xml:space="preserve">LCC Fusion Project</w:t>
      </w:r>
    </w:p>
    <w:p>
      <w:pPr>
        <w:pStyle w:val="Author"/>
      </w:pPr>
      <w:r>
        <w:t xml:space="preserve">Pat Fleming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7" w:name="half-siding-planning-guide"/>
    <w:p>
      <w:pPr>
        <w:pStyle w:val="Heading1"/>
      </w:pPr>
      <w:r>
        <w:t xml:space="preserve">Half-Siding Planning Guide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guide defines the</w:t>
      </w:r>
      <w:r>
        <w:t xml:space="preserve"> </w:t>
      </w:r>
      <w:r>
        <w:rPr>
          <w:b/>
          <w:bCs/>
        </w:rPr>
        <w:t xml:space="preserve">minimum LCC Fusion hardware</w:t>
      </w:r>
      <w:r>
        <w:t xml:space="preserve"> </w:t>
      </w:r>
      <w:r>
        <w:t xml:space="preserve">required to implement a simple half-siding within a single Pod.</w:t>
      </w:r>
      <w:r>
        <w:br/>
      </w:r>
      <w:r>
        <w:t xml:space="preserve">It is intended as a</w:t>
      </w:r>
      <w:r>
        <w:t xml:space="preserve"> </w:t>
      </w:r>
      <w:r>
        <w:rPr>
          <w:b/>
          <w:bCs/>
        </w:rPr>
        <w:t xml:space="preserve">planning reference</w:t>
      </w:r>
      <w:r>
        <w:t xml:space="preserve">, not an installation or configuration guide.</w:t>
      </w:r>
    </w:p>
    <w:p>
      <w:pPr>
        <w:pStyle w:val="BodyText"/>
      </w:pPr>
      <w:r>
        <w:t xml:space="preserve">The half-siding example represents a common real-world scenario:</w:t>
      </w:r>
      <w:r>
        <w:t xml:space="preserve"> </w:t>
      </w:r>
      <w:r>
        <w:t xml:space="preserve">- A turnout branching from a mainline</w:t>
      </w:r>
      <w:r>
        <w:t xml:space="preserve"> </w:t>
      </w:r>
      <w:r>
        <w:t xml:space="preserve">- A siding track protected by signals</w:t>
      </w:r>
      <w:r>
        <w:t xml:space="preserve"> </w:t>
      </w:r>
      <w:r>
        <w:t xml:space="preserve">- Occupancy detection used to influence signaling and turnout behavior</w:t>
      </w:r>
    </w:p>
    <w:p>
      <w:pPr>
        <w:pStyle w:val="BodyText"/>
      </w:pPr>
      <w:r>
        <w:t xml:space="preserve">This guide focuses on</w:t>
      </w:r>
      <w:r>
        <w:t xml:space="preserve"> </w:t>
      </w:r>
      <w:r>
        <w:rPr>
          <w:b/>
          <w:bCs/>
        </w:rPr>
        <w:t xml:space="preserve">what hardware is required</w:t>
      </w:r>
      <w:r>
        <w:t xml:space="preserve">,</w:t>
      </w:r>
      <w:r>
        <w:t xml:space="preserve"> </w:t>
      </w:r>
      <w:r>
        <w:rPr>
          <w:b/>
          <w:bCs/>
        </w:rPr>
        <w:t xml:space="preserve">where it is physically placed</w:t>
      </w:r>
      <w:r>
        <w:t xml:space="preserve">, and</w:t>
      </w:r>
      <w:r>
        <w:t xml:space="preserve"> </w:t>
      </w:r>
      <w:r>
        <w:rPr>
          <w:b/>
          <w:bCs/>
        </w:rPr>
        <w:t xml:space="preserve">how capacity is planned</w:t>
      </w:r>
      <w:r>
        <w:t xml:space="preserve">.</w:t>
      </w:r>
    </w:p>
    <w:p>
      <w:pPr>
        <w:pStyle w:val="BlockText"/>
      </w:pPr>
      <w:r>
        <w:t xml:space="preserve">This example assumes familiarity with earlier planning guides and focuses on applying those concepts to a concrete layout scenario.</w:t>
      </w:r>
    </w:p>
    <w:p>
      <w:r>
        <w:pict>
          <v:rect style="width:0;height:1.5pt" o:hralign="center" o:hrstd="t" o:hr="t"/>
        </w:pict>
      </w:r>
    </w:p>
    <w:bookmarkEnd w:id="20"/>
    <w:bookmarkStart w:id="21" w:name="example-scope"/>
    <w:p>
      <w:pPr>
        <w:pStyle w:val="Heading2"/>
      </w:pPr>
      <w:r>
        <w:t xml:space="preserve">Example Scope</w:t>
      </w:r>
    </w:p>
    <w:p>
      <w:pPr>
        <w:pStyle w:val="FirstParagraph"/>
      </w:pPr>
      <w:r>
        <w:t xml:space="preserve">The half-siding includes:</w:t>
      </w:r>
    </w:p>
    <w:p>
      <w:pPr>
        <w:pStyle w:val="Compact"/>
        <w:numPr>
          <w:ilvl w:val="0"/>
          <w:numId w:val="1001"/>
        </w:numPr>
      </w:pPr>
      <w:r>
        <w:t xml:space="preserve">One turnout controlling access to a siding</w:t>
      </w:r>
    </w:p>
    <w:p>
      <w:pPr>
        <w:pStyle w:val="Compact"/>
        <w:numPr>
          <w:ilvl w:val="0"/>
          <w:numId w:val="1001"/>
        </w:numPr>
      </w:pPr>
      <w:r>
        <w:t xml:space="preserve">Signals governing movement into and through the siding</w:t>
      </w:r>
    </w:p>
    <w:p>
      <w:pPr>
        <w:pStyle w:val="Compact"/>
        <w:numPr>
          <w:ilvl w:val="0"/>
          <w:numId w:val="1001"/>
        </w:numPr>
      </w:pPr>
      <w:r>
        <w:t xml:space="preserve">Occupancy detection for mainline and siding blocks</w:t>
      </w:r>
    </w:p>
    <w:p>
      <w:pPr>
        <w:pStyle w:val="Compact"/>
        <w:numPr>
          <w:ilvl w:val="0"/>
          <w:numId w:val="1001"/>
        </w:numPr>
      </w:pPr>
      <w:r>
        <w:t xml:space="preserve">All components contained within a single LCC Fusion pod</w:t>
      </w:r>
    </w:p>
    <w:p>
      <w:pPr>
        <w:pStyle w:val="FirstParagraph"/>
      </w:pPr>
      <w:r>
        <w:t xml:space="preserve">No node-to-node networking is assumed.</w:t>
      </w:r>
    </w:p>
    <w:p>
      <w:r>
        <w:pict>
          <v:rect style="width:0;height:1.5pt" o:hralign="center" o:hrstd="t" o:hr="t"/>
        </w:pict>
      </w:r>
    </w:p>
    <w:bookmarkEnd w:id="21"/>
    <w:bookmarkStart w:id="22" w:name="hardware-planning-summary"/>
    <w:p>
      <w:pPr>
        <w:pStyle w:val="Heading2"/>
      </w:pPr>
      <w:r>
        <w:t xml:space="preserve">Hardware Planning Summary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061"/>
        <w:gridCol w:w="2030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LCC Fusion Hardware</w:t>
            </w:r>
          </w:p>
        </w:tc>
        <w:tc>
          <w:tcPr/>
          <w:p>
            <w:pPr>
              <w:pStyle w:val="Compact"/>
            </w:pPr>
            <w:r>
              <w:t xml:space="preserve">Quantity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Node Card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Hosts firmware, logic execution, and LCC event handling for the half-siding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Node Bus Hub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Interconnects all cards in the pod and distributes power and communication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Turnout Card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Controls the turnout motor and reports turnout position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Turnout Breakout Board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Connects the Turnout Card to the physical turnout machine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PWM Card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Drives signal LEDs with controlled brightness and aspect control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Signal Breakout Board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Connects signal heads to PWM outputs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BOD Card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Detects block occupancy for the siding and mainline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Block Breakout Board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Interfaces between track wiring and the BOD Card inputs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5" w:name="hardware-placement-strategy"/>
    <w:p>
      <w:pPr>
        <w:pStyle w:val="Heading2"/>
      </w:pPr>
      <w:r>
        <w:t xml:space="preserve">Hardware Placement Strategy</w:t>
      </w:r>
    </w:p>
    <w:bookmarkStart w:id="23" w:name="centralized-pod-components"/>
    <w:p>
      <w:pPr>
        <w:pStyle w:val="Heading3"/>
      </w:pPr>
      <w:r>
        <w:t xml:space="preserve">Centralized Pod Components</w:t>
      </w:r>
    </w:p>
    <w:p>
      <w:pPr>
        <w:pStyle w:val="FirstParagraph"/>
      </w:pPr>
      <w:r>
        <w:t xml:space="preserve">The following components are typically</w:t>
      </w:r>
      <w:r>
        <w:t xml:space="preserve"> </w:t>
      </w:r>
      <w:r>
        <w:rPr>
          <w:b/>
          <w:bCs/>
        </w:rPr>
        <w:t xml:space="preserve">centralized</w:t>
      </w:r>
      <w:r>
        <w:t xml:space="preserve"> </w:t>
      </w:r>
      <w:r>
        <w:t xml:space="preserve">in one physical location, such as under the layout or inside a control enclosure:</w:t>
      </w:r>
    </w:p>
    <w:p>
      <w:pPr>
        <w:pStyle w:val="Compact"/>
        <w:numPr>
          <w:ilvl w:val="0"/>
          <w:numId w:val="1002"/>
        </w:numPr>
      </w:pPr>
      <w:r>
        <w:t xml:space="preserve">Node Card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Node Bus Hub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Turnout Card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PWM Card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BOD Card</w:t>
      </w:r>
    </w:p>
    <w:p>
      <w:pPr>
        <w:pStyle w:val="FirstParagraph"/>
      </w:pPr>
      <w:r>
        <w:t xml:space="preserve">These cards:</w:t>
      </w:r>
      <w:r>
        <w:t xml:space="preserve"> </w:t>
      </w:r>
      <w:r>
        <w:t xml:space="preserve">- Share power and communication via the Node Bus</w:t>
      </w:r>
      <w:r>
        <w:t xml:space="preserve"> </w:t>
      </w:r>
      <w:r>
        <w:t xml:space="preserve">- Benefit from short, clean interconnections</w:t>
      </w:r>
      <w:r>
        <w:t xml:space="preserve"> </w:t>
      </w:r>
      <w:r>
        <w:t xml:space="preserve">- Are easier to service and expand when grouped together</w:t>
      </w:r>
    </w:p>
    <w:p>
      <w:pPr>
        <w:pStyle w:val="BodyText"/>
      </w:pPr>
      <w:r>
        <w:t xml:space="preserve">This centralized arrangement forms the</w:t>
      </w:r>
      <w:r>
        <w:t xml:space="preserve"> </w:t>
      </w:r>
      <w:r>
        <w:rPr>
          <w:b/>
          <w:bCs/>
        </w:rPr>
        <w:t xml:space="preserve">pod core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distributed-breakout-boards"/>
    <w:p>
      <w:pPr>
        <w:pStyle w:val="Heading3"/>
      </w:pPr>
      <w:r>
        <w:t xml:space="preserve">Distributed Breakout Boards</w:t>
      </w:r>
    </w:p>
    <w:p>
      <w:pPr>
        <w:pStyle w:val="FirstParagraph"/>
      </w:pPr>
      <w:r>
        <w:t xml:space="preserve">Breakout boards are placed</w:t>
      </w:r>
      <w:r>
        <w:t xml:space="preserve"> </w:t>
      </w:r>
      <w:r>
        <w:rPr>
          <w:b/>
          <w:bCs/>
        </w:rPr>
        <w:t xml:space="preserve">near the physical devices they serve</w:t>
      </w:r>
      <w:r>
        <w:t xml:space="preserve">:</w:t>
      </w:r>
    </w:p>
    <w:p>
      <w:pPr>
        <w:pStyle w:val="Compact"/>
        <w:numPr>
          <w:ilvl w:val="0"/>
          <w:numId w:val="1003"/>
        </w:numPr>
      </w:pPr>
      <w:r>
        <w:t xml:space="preserve">Turnout Breakout Board near the turnout machine</w:t>
      </w:r>
    </w:p>
    <w:p>
      <w:pPr>
        <w:pStyle w:val="Compact"/>
        <w:numPr>
          <w:ilvl w:val="0"/>
          <w:numId w:val="1003"/>
        </w:numPr>
      </w:pPr>
      <w:r>
        <w:t xml:space="preserve">Signal Breakout Board near the signal mast(s)</w:t>
      </w:r>
    </w:p>
    <w:p>
      <w:pPr>
        <w:pStyle w:val="Compact"/>
        <w:numPr>
          <w:ilvl w:val="0"/>
          <w:numId w:val="1003"/>
        </w:numPr>
      </w:pPr>
      <w:r>
        <w:t xml:space="preserve">Block Breakout Board near track feeder connections</w:t>
      </w:r>
    </w:p>
    <w:p>
      <w:pPr>
        <w:pStyle w:val="FirstParagraph"/>
      </w:pPr>
      <w:r>
        <w:t xml:space="preserve">This placement:</w:t>
      </w:r>
      <w:r>
        <w:t xml:space="preserve"> </w:t>
      </w:r>
      <w:r>
        <w:t xml:space="preserve">- Minimizes long runs of device wiring</w:t>
      </w:r>
      <w:r>
        <w:t xml:space="preserve"> </w:t>
      </w:r>
      <w:r>
        <w:t xml:space="preserve">- Keeps high-current or layout-voltage wiring off the pod</w:t>
      </w:r>
      <w:r>
        <w:t xml:space="preserve"> </w:t>
      </w:r>
      <w:r>
        <w:t xml:space="preserve">- Simplifies troubleshooting and future changes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block-planning-example"/>
    <w:p>
      <w:pPr>
        <w:pStyle w:val="Heading2"/>
      </w:pPr>
      <w:r>
        <w:t xml:space="preserve">Block Planning Example</w:t>
      </w:r>
    </w:p>
    <w:p>
      <w:pPr>
        <w:pStyle w:val="FirstParagraph"/>
      </w:pPr>
      <w:r>
        <w:t xml:space="preserve">A typical half-siding may be divided into the following occupancy blocks: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2 blocks before the turnout</w:t>
      </w:r>
      <w:r>
        <w:t xml:space="preserve"> </w:t>
      </w:r>
      <w:r>
        <w:t xml:space="preserve">(approach / mainline)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1 block through the turnout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1 block in the siding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2 blocks after the turnout</w:t>
      </w:r>
      <w:r>
        <w:t xml:space="preserve"> </w:t>
      </w:r>
      <w:r>
        <w:t xml:space="preserve">(departure / continuation)</w:t>
      </w:r>
    </w:p>
    <w:p>
      <w:pPr>
        <w:pStyle w:val="FirstParagraph"/>
      </w:pPr>
      <w:r>
        <w:t xml:space="preserve">This results in</w:t>
      </w:r>
      <w:r>
        <w:t xml:space="preserve"> </w:t>
      </w:r>
      <w:r>
        <w:rPr>
          <w:b/>
          <w:bCs/>
        </w:rPr>
        <w:t xml:space="preserve">6 blocks total</w:t>
      </w:r>
      <w:r>
        <w:t xml:space="preserve">, well within the capacity of a single BOD Card.</w:t>
      </w:r>
    </w:p>
    <w:p>
      <w:pPr>
        <w:pStyle w:val="BlockText"/>
      </w:pPr>
      <w:r>
        <w:t xml:space="preserve">A single BOD Card supports up to</w:t>
      </w:r>
      <w:r>
        <w:t xml:space="preserve"> </w:t>
      </w:r>
      <w:r>
        <w:rPr>
          <w:b/>
          <w:bCs/>
        </w:rPr>
        <w:t xml:space="preserve">8 blocks</w:t>
      </w:r>
      <w:r>
        <w:t xml:space="preserve">, allowing headroom for expansion or refinement.</w:t>
      </w:r>
    </w:p>
    <w:p>
      <w:r>
        <w:pict>
          <v:rect style="width:0;height:1.5pt" o:hralign="center" o:hrstd="t" o:hr="t"/>
        </w:pict>
      </w:r>
    </w:p>
    <w:bookmarkEnd w:id="26"/>
    <w:bookmarkStart w:id="27" w:name="signal-and-lamp-planning-example"/>
    <w:p>
      <w:pPr>
        <w:pStyle w:val="Heading2"/>
      </w:pPr>
      <w:r>
        <w:t xml:space="preserve">Signal and Lamp Planning Example</w:t>
      </w:r>
    </w:p>
    <w:p>
      <w:pPr>
        <w:pStyle w:val="FirstParagraph"/>
      </w:pPr>
      <w:r>
        <w:t xml:space="preserve">Signal planning directly affects PWM and Signal Breakout Board requirements.</w:t>
      </w:r>
    </w:p>
    <w:p>
      <w:pPr>
        <w:pStyle w:val="BodyText"/>
      </w:pPr>
      <w:r>
        <w:t xml:space="preserve">Example signal usage for a half-siding: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Approach signal (mainline)</w:t>
      </w:r>
      <w:r>
        <w:t xml:space="preserve"> </w:t>
      </w:r>
      <w:r>
        <w:t xml:space="preserve">– 3 lamps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Turnout-protecting signal</w:t>
      </w:r>
      <w:r>
        <w:t xml:space="preserve"> </w:t>
      </w:r>
      <w:r>
        <w:t xml:space="preserve">– 3 lamps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Siding exit or clearance signal</w:t>
      </w:r>
      <w:r>
        <w:t xml:space="preserve"> </w:t>
      </w:r>
      <w:r>
        <w:t xml:space="preserve">– 2 lamps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Optional downstream signal(s)</w:t>
      </w:r>
      <w:r>
        <w:t xml:space="preserve"> </w:t>
      </w:r>
      <w:r>
        <w:t xml:space="preserve">– 2 lamps each</w:t>
      </w:r>
    </w:p>
    <w:p>
      <w:pPr>
        <w:pStyle w:val="FirstParagraph"/>
      </w:pPr>
      <w:r>
        <w:t xml:space="preserve">This example might include: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5 × 3-lamp signals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8 × 2-lamp signals</w:t>
      </w:r>
    </w:p>
    <w:p>
      <w:pPr>
        <w:pStyle w:val="BodyText"/>
      </w:pPr>
      <w:r>
        <w:t xml:space="preserve">A single Signal Breakout Board supports up to: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16 individual lamps</w:t>
      </w:r>
      <w:r>
        <w:t xml:space="preserve"> </w:t>
      </w:r>
      <w:r>
        <w:t xml:space="preserve">- Or combinations such as:</w:t>
      </w:r>
      <w:r>
        <w:t xml:space="preserve"> </w:t>
      </w:r>
      <w:r>
        <w:t xml:space="preserve">- Five 3-lamp signals (15 lamps total)</w:t>
      </w:r>
      <w:r>
        <w:t xml:space="preserve"> </w:t>
      </w:r>
      <w:r>
        <w:t xml:space="preserve">- Eight 2-lamp signals (16 lamps total)</w:t>
      </w:r>
    </w:p>
    <w:p>
      <w:pPr>
        <w:pStyle w:val="BodyText"/>
      </w:pPr>
      <w:r>
        <w:t xml:space="preserve">Proper lamp counting during planning ensures:</w:t>
      </w:r>
      <w:r>
        <w:t xml:space="preserve"> </w:t>
      </w:r>
      <w:r>
        <w:t xml:space="preserve">- Correct selection of PWM Cards</w:t>
      </w:r>
      <w:r>
        <w:t xml:space="preserve"> </w:t>
      </w:r>
      <w:r>
        <w:t xml:space="preserve">- Correct number of Signal Breakout Boards</w:t>
      </w:r>
      <w:r>
        <w:t xml:space="preserve"> </w:t>
      </w:r>
      <w:r>
        <w:t xml:space="preserve">- No redesign later due to capacity limits</w:t>
      </w:r>
    </w:p>
    <w:p>
      <w:r>
        <w:pict>
          <v:rect style="width:0;height:1.5pt" o:hralign="center" o:hrstd="t" o:hr="t"/>
        </w:pict>
      </w:r>
    </w:p>
    <w:bookmarkEnd w:id="27"/>
    <w:bookmarkStart w:id="30" w:name="power-planning-overview"/>
    <w:p>
      <w:pPr>
        <w:pStyle w:val="Heading2"/>
      </w:pPr>
      <w:r>
        <w:t xml:space="preserve">Power Planning Overview</w:t>
      </w:r>
    </w:p>
    <w:bookmarkStart w:id="28" w:name="pod-power-distribution"/>
    <w:p>
      <w:pPr>
        <w:pStyle w:val="Heading3"/>
      </w:pPr>
      <w:r>
        <w:t xml:space="preserve">Pod Power Distribution</w:t>
      </w:r>
    </w:p>
    <w:p>
      <w:pPr>
        <w:pStyle w:val="Compact"/>
        <w:numPr>
          <w:ilvl w:val="0"/>
          <w:numId w:val="1006"/>
        </w:numPr>
      </w:pPr>
      <w:r>
        <w:t xml:space="preserve">All LCC Fusion cards within the pod receive power via the</w:t>
      </w:r>
      <w:r>
        <w:t xml:space="preserve"> </w:t>
      </w:r>
      <w:r>
        <w:rPr>
          <w:b/>
          <w:bCs/>
        </w:rPr>
        <w:t xml:space="preserve">Node Bus Hub</w:t>
      </w:r>
    </w:p>
    <w:p>
      <w:pPr>
        <w:pStyle w:val="Compact"/>
        <w:numPr>
          <w:ilvl w:val="0"/>
          <w:numId w:val="1006"/>
        </w:numPr>
      </w:pPr>
      <w:r>
        <w:t xml:space="preserve">Power and communication are distributed using</w:t>
      </w:r>
      <w:r>
        <w:t xml:space="preserve"> </w:t>
      </w:r>
      <w:r>
        <w:rPr>
          <w:b/>
          <w:bCs/>
        </w:rPr>
        <w:t xml:space="preserve">standard network cables</w:t>
      </w:r>
    </w:p>
    <w:p>
      <w:pPr>
        <w:pStyle w:val="Compact"/>
        <w:numPr>
          <w:ilvl w:val="0"/>
          <w:numId w:val="1006"/>
        </w:numPr>
      </w:pPr>
      <w:r>
        <w:t xml:space="preserve">No point-to-point power wiring is required between cards</w:t>
      </w:r>
    </w:p>
    <w:p>
      <w:pPr>
        <w:pStyle w:val="FirstParagraph"/>
      </w:pPr>
      <w:r>
        <w:t xml:space="preserve">This keeps the pod compact and modular.</w:t>
      </w:r>
    </w:p>
    <w:p>
      <w:r>
        <w:pict>
          <v:rect style="width:0;height:1.5pt" o:hralign="center" o:hrstd="t" o:hr="t"/>
        </w:pict>
      </w:r>
    </w:p>
    <w:bookmarkEnd w:id="28"/>
    <w:bookmarkStart w:id="29" w:name="layout-accessory-bus"/>
    <w:p>
      <w:pPr>
        <w:pStyle w:val="Heading3"/>
      </w:pPr>
      <w:r>
        <w:t xml:space="preserve">Layout Accessory Bus</w:t>
      </w:r>
    </w:p>
    <w:p>
      <w:pPr>
        <w:pStyle w:val="FirstParagraph"/>
      </w:pPr>
      <w:r>
        <w:t xml:space="preserve">Breakout boards connect to the</w:t>
      </w:r>
      <w:r>
        <w:t xml:space="preserve"> </w:t>
      </w:r>
      <w:r>
        <w:rPr>
          <w:b/>
          <w:bCs/>
        </w:rPr>
        <w:t xml:space="preserve">layout accessory bus</w:t>
      </w:r>
      <w:r>
        <w:t xml:space="preserve">, not the Node Bus.</w:t>
      </w:r>
    </w:p>
    <w:p>
      <w:pPr>
        <w:pStyle w:val="BodyText"/>
      </w:pPr>
      <w:r>
        <w:t xml:space="preserve">Typical uses include:</w:t>
      </w:r>
      <w:r>
        <w:t xml:space="preserve"> </w:t>
      </w:r>
      <w:r>
        <w:t xml:space="preserve">- Turnout motor power</w:t>
      </w:r>
      <w:r>
        <w:t xml:space="preserve"> </w:t>
      </w:r>
      <w:r>
        <w:t xml:space="preserve">- Signal LED power</w:t>
      </w:r>
      <w:r>
        <w:t xml:space="preserve"> </w:t>
      </w:r>
      <w:r>
        <w:t xml:space="preserve">- Track connections for occupancy detection</w:t>
      </w:r>
    </w:p>
    <w:p>
      <w:pPr>
        <w:pStyle w:val="BodyText"/>
      </w:pPr>
      <w:r>
        <w:t xml:space="preserve">This separation ensures:</w:t>
      </w:r>
      <w:r>
        <w:t xml:space="preserve"> </w:t>
      </w:r>
      <w:r>
        <w:t xml:space="preserve">- High-current or layout-voltage wiring stays off the pod</w:t>
      </w:r>
      <w:r>
        <w:t xml:space="preserve"> </w:t>
      </w:r>
      <w:r>
        <w:t xml:space="preserve">- Logic electronics remain isolated</w:t>
      </w:r>
      <w:r>
        <w:t xml:space="preserve"> </w:t>
      </w:r>
      <w:r>
        <w:t xml:space="preserve">- Cleaner wiring and safer expansion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planning-notes"/>
    <w:p>
      <w:pPr>
        <w:pStyle w:val="Heading2"/>
      </w:pPr>
      <w:r>
        <w:t xml:space="preserve">Planning Notes</w:t>
      </w:r>
    </w:p>
    <w:p>
      <w:pPr>
        <w:pStyle w:val="FirstParagraph"/>
      </w:pPr>
      <w:r>
        <w:t xml:space="preserve">When planning a half-siding, consider:</w:t>
      </w:r>
    </w:p>
    <w:p>
      <w:pPr>
        <w:pStyle w:val="Compact"/>
        <w:numPr>
          <w:ilvl w:val="0"/>
          <w:numId w:val="1007"/>
        </w:numPr>
      </w:pPr>
      <w:r>
        <w:t xml:space="preserve">How many blocks are truly needed versus desired</w:t>
      </w:r>
    </w:p>
    <w:p>
      <w:pPr>
        <w:pStyle w:val="Compact"/>
        <w:numPr>
          <w:ilvl w:val="0"/>
          <w:numId w:val="1007"/>
        </w:numPr>
      </w:pPr>
      <w:r>
        <w:t xml:space="preserve">Whether signals protect individual blocks or grouped movements</w:t>
      </w:r>
    </w:p>
    <w:p>
      <w:pPr>
        <w:pStyle w:val="Compact"/>
        <w:numPr>
          <w:ilvl w:val="0"/>
          <w:numId w:val="1007"/>
        </w:numPr>
      </w:pPr>
      <w:r>
        <w:t xml:space="preserve">The number of lamps per signal mast</w:t>
      </w:r>
    </w:p>
    <w:p>
      <w:pPr>
        <w:pStyle w:val="Compact"/>
        <w:numPr>
          <w:ilvl w:val="0"/>
          <w:numId w:val="1007"/>
        </w:numPr>
      </w:pPr>
      <w:r>
        <w:t xml:space="preserve">Future expansion beyond the initial siding</w:t>
      </w:r>
    </w:p>
    <w:p>
      <w:pPr>
        <w:pStyle w:val="FirstParagraph"/>
      </w:pPr>
      <w:r>
        <w:t xml:space="preserve">These decisions influence</w:t>
      </w:r>
      <w:r>
        <w:t xml:space="preserve"> </w:t>
      </w:r>
      <w:r>
        <w:rPr>
          <w:b/>
          <w:bCs/>
        </w:rPr>
        <w:t xml:space="preserve">capacity planning</w:t>
      </w:r>
      <w:r>
        <w:t xml:space="preserve">, not basic hardware selection.</w:t>
      </w:r>
    </w:p>
    <w:p>
      <w:r>
        <w:pict>
          <v:rect style="width:0;height:1.5pt" o:hralign="center" o:hrstd="t" o:hr="t"/>
        </w:pict>
      </w:r>
    </w:p>
    <w:bookmarkEnd w:id="31"/>
    <w:bookmarkStart w:id="32" w:name="why-this-example-matters"/>
    <w:p>
      <w:pPr>
        <w:pStyle w:val="Heading2"/>
      </w:pPr>
      <w:r>
        <w:t xml:space="preserve">Why This Example Matters</w:t>
      </w:r>
    </w:p>
    <w:p>
      <w:pPr>
        <w:pStyle w:val="FirstParagraph"/>
      </w:pPr>
      <w:r>
        <w:t xml:space="preserve">This half-siding example serves as:</w:t>
      </w:r>
    </w:p>
    <w:p>
      <w:pPr>
        <w:pStyle w:val="Compact"/>
        <w:numPr>
          <w:ilvl w:val="0"/>
          <w:numId w:val="1008"/>
        </w:numPr>
      </w:pPr>
      <w:r>
        <w:t xml:space="preserve">The first</w:t>
      </w:r>
      <w:r>
        <w:t xml:space="preserve"> </w:t>
      </w:r>
      <w:r>
        <w:rPr>
          <w:b/>
          <w:bCs/>
        </w:rPr>
        <w:t xml:space="preserve">multi-card planning reference</w:t>
      </w:r>
      <w:r>
        <w:t xml:space="preserve"> </w:t>
      </w:r>
      <w:r>
        <w:t xml:space="preserve">in the LCC Fusion documentation</w:t>
      </w:r>
    </w:p>
    <w:p>
      <w:pPr>
        <w:pStyle w:val="Compact"/>
        <w:numPr>
          <w:ilvl w:val="0"/>
          <w:numId w:val="1008"/>
        </w:numPr>
      </w:pPr>
      <w:r>
        <w:t xml:space="preserve">A realistic, compact operating scenario</w:t>
      </w:r>
    </w:p>
    <w:p>
      <w:pPr>
        <w:pStyle w:val="Compact"/>
        <w:numPr>
          <w:ilvl w:val="0"/>
          <w:numId w:val="1008"/>
        </w:numPr>
      </w:pPr>
      <w:r>
        <w:t xml:space="preserve">A reusable planning pattern for other scenes</w:t>
      </w:r>
    </w:p>
    <w:p>
      <w:pPr>
        <w:pStyle w:val="Compact"/>
        <w:numPr>
          <w:ilvl w:val="0"/>
          <w:numId w:val="1008"/>
        </w:numPr>
      </w:pPr>
      <w:r>
        <w:t xml:space="preserve">A bridge between dioramas and full layout planning</w:t>
      </w:r>
    </w:p>
    <w:p>
      <w:r>
        <w:pict>
          <v:rect style="width:0;height:1.5pt" o:hralign="center" o:hrstd="t" o:hr="t"/>
        </w:pict>
      </w:r>
    </w:p>
    <w:bookmarkEnd w:id="32"/>
    <w:bookmarkStart w:id="46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9"/>
        </w:numPr>
      </w:pPr>
      <w:hyperlink r:id="rId33">
        <w:r>
          <w:rPr>
            <w:rStyle w:val="Hyperlink"/>
          </w:rPr>
          <w:t xml:space="preserve">Planner’s Guides</w:t>
        </w:r>
      </w:hyperlink>
    </w:p>
    <w:p>
      <w:pPr>
        <w:numPr>
          <w:ilvl w:val="0"/>
          <w:numId w:val="1009"/>
        </w:numPr>
      </w:pPr>
      <w:hyperlink r:id="rId34">
        <w:r>
          <w:rPr>
            <w:rStyle w:val="Hyperlink"/>
          </w:rPr>
          <w:t xml:space="preserve">Getting Started</w:t>
        </w:r>
      </w:hyperlink>
    </w:p>
    <w:p>
      <w:pPr>
        <w:numPr>
          <w:ilvl w:val="0"/>
          <w:numId w:val="1009"/>
        </w:numPr>
      </w:pPr>
      <w:hyperlink r:id="rId35">
        <w:r>
          <w:rPr>
            <w:rStyle w:val="Hyperlink"/>
          </w:rPr>
          <w:t xml:space="preserve">Node Power Planning Guide</w:t>
        </w:r>
      </w:hyperlink>
    </w:p>
    <w:p>
      <w:pPr>
        <w:numPr>
          <w:ilvl w:val="0"/>
          <w:numId w:val="1009"/>
        </w:numPr>
      </w:pPr>
      <w:hyperlink r:id="rId36">
        <w:r>
          <w:rPr>
            <w:rStyle w:val="Hyperlink"/>
          </w:rPr>
          <w:t xml:space="preserve">Multi-Node Planning Guide</w:t>
        </w:r>
      </w:hyperlink>
    </w:p>
    <w:p>
      <w:pPr>
        <w:numPr>
          <w:ilvl w:val="0"/>
          <w:numId w:val="1009"/>
        </w:numPr>
      </w:pPr>
      <w:hyperlink r:id="rId37">
        <w:r>
          <w:rPr>
            <w:rStyle w:val="Hyperlink"/>
          </w:rPr>
          <w:t xml:space="preserve">Wired Node-to-Node Planning Guide</w:t>
        </w:r>
      </w:hyperlink>
    </w:p>
    <w:p>
      <w:pPr>
        <w:numPr>
          <w:ilvl w:val="0"/>
          <w:numId w:val="1009"/>
        </w:numPr>
      </w:pPr>
      <w:hyperlink r:id="rId38">
        <w:r>
          <w:rPr>
            <w:rStyle w:val="Hyperlink"/>
          </w:rPr>
          <w:t xml:space="preserve">Wireless Node-to-Node Planning Guide</w:t>
        </w:r>
      </w:hyperlink>
    </w:p>
    <w:p>
      <w:pPr>
        <w:numPr>
          <w:ilvl w:val="0"/>
          <w:numId w:val="1009"/>
        </w:numPr>
      </w:pPr>
      <w:hyperlink r:id="rId39">
        <w:r>
          <w:rPr>
            <w:rStyle w:val="Hyperlink"/>
          </w:rPr>
          <w:t xml:space="preserve">Node Clusters</w:t>
        </w:r>
      </w:hyperlink>
    </w:p>
    <w:p>
      <w:pPr>
        <w:numPr>
          <w:ilvl w:val="0"/>
          <w:numId w:val="1009"/>
        </w:numPr>
      </w:pPr>
      <w:hyperlink r:id="rId40">
        <w:r>
          <w:rPr>
            <w:rStyle w:val="Hyperlink"/>
          </w:rPr>
          <w:t xml:space="preserve">Node Bus Hub Installation Guide</w:t>
        </w:r>
      </w:hyperlink>
    </w:p>
    <w:p>
      <w:pPr>
        <w:numPr>
          <w:ilvl w:val="0"/>
          <w:numId w:val="1009"/>
        </w:numPr>
      </w:pPr>
      <w:hyperlink r:id="rId41">
        <w:r>
          <w:rPr>
            <w:rStyle w:val="Hyperlink"/>
          </w:rPr>
          <w:t xml:space="preserve">Configurator’s Guides</w:t>
        </w:r>
      </w:hyperlink>
    </w:p>
    <w:p>
      <w:pPr>
        <w:numPr>
          <w:ilvl w:val="0"/>
          <w:numId w:val="1009"/>
        </w:numPr>
      </w:pPr>
      <w:hyperlink r:id="rId42">
        <w:r>
          <w:rPr>
            <w:rStyle w:val="Hyperlink"/>
          </w:rPr>
          <w:t xml:space="preserve">CDI Configuration Tool Installation Guide</w:t>
        </w:r>
      </w:hyperlink>
    </w:p>
    <w:p>
      <w:pPr>
        <w:numPr>
          <w:ilvl w:val="0"/>
          <w:numId w:val="1009"/>
        </w:numPr>
      </w:pPr>
      <w:r>
        <w:rPr>
          <w:b/>
          <w:bCs/>
        </w:rPr>
        <w:t xml:space="preserve">Educational Media</w:t>
      </w:r>
    </w:p>
    <w:p>
      <w:pPr>
        <w:numPr>
          <w:ilvl w:val="0"/>
          <w:numId w:val="1000"/>
        </w:numPr>
      </w:pPr>
      <w:r>
        <w:t xml:space="preserve">–</w:t>
      </w:r>
      <w:r>
        <w:t xml:space="preserve"> </w:t>
      </w:r>
      <w:hyperlink r:id="rId43">
        <w:r>
          <w:rPr>
            <w:rStyle w:val="Hyperlink"/>
          </w:rPr>
          <w:t xml:space="preserve">Understanding LCC Fusion – A Clear On-Ramp into LCC-Based Layout Automation</w:t>
        </w:r>
      </w:hyperlink>
      <w:r>
        <w:t xml:space="preserve"> </w:t>
      </w:r>
      <w:r>
        <w:t xml:space="preserve">–</w:t>
      </w:r>
      <w:r>
        <w:t xml:space="preserve"> </w:t>
      </w:r>
      <w:hyperlink r:id="rId44">
        <w:r>
          <w:rPr>
            <w:rStyle w:val="Hyperlink"/>
          </w:rPr>
          <w:t xml:space="preserve">LCC Fusion Podcast – Fusion Hardware Architecture Overview</w:t>
        </w:r>
      </w:hyperlink>
      <w:r>
        <w:t xml:space="preserve"> </w:t>
      </w:r>
      <w:r>
        <w:t xml:space="preserve">–</w:t>
      </w:r>
      <w:r>
        <w:t xml:space="preserve"> </w:t>
      </w:r>
      <w:hyperlink r:id="rId45">
        <w:r>
          <w:rPr>
            <w:rStyle w:val="Hyperlink"/>
          </w:rPr>
          <w:t xml:space="preserve">LCC Fusion Podcast – Cards &amp; Node Basics</w:t>
        </w:r>
      </w:hyperlink>
    </w:p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s://patfleming.github.io/LccFusionPosts/podcast-card-basics/" TargetMode="External" /><Relationship Type="http://schemas.openxmlformats.org/officeDocument/2006/relationships/hyperlink" Id="rId44" Target="https://patfleming.github.io/LccFusionPosts/podcast-hardware-architecture-overview/" TargetMode="External" /><Relationship Type="http://schemas.openxmlformats.org/officeDocument/2006/relationships/hyperlink" Id="rId43" Target="https://patfleming.github.io/LccFusionPosts/understanding-lcc-fusion/" TargetMode="External" /><Relationship Type="http://schemas.openxmlformats.org/officeDocument/2006/relationships/hyperlink" Id="rId42" Target="https://patfleming.github.io/LccFusionProject/cdi-configuration-tool-installation-guide/" TargetMode="External" /><Relationship Type="http://schemas.openxmlformats.org/officeDocument/2006/relationships/hyperlink" Id="rId41" Target="https://patfleming.github.io/LccFusionProject/configurators-guides/" TargetMode="External" /><Relationship Type="http://schemas.openxmlformats.org/officeDocument/2006/relationships/hyperlink" Id="rId34" Target="https://patfleming.github.io/LccFusionProject/getting-started/" TargetMode="External" /><Relationship Type="http://schemas.openxmlformats.org/officeDocument/2006/relationships/hyperlink" Id="rId36" Target="https://patfleming.github.io/LccFusionProject/multi-node-planning-guide/" TargetMode="External" /><Relationship Type="http://schemas.openxmlformats.org/officeDocument/2006/relationships/hyperlink" Id="rId40" Target="https://patfleming.github.io/LccFusionProject/node-bus-hub-installation-guide/" TargetMode="External" /><Relationship Type="http://schemas.openxmlformats.org/officeDocument/2006/relationships/hyperlink" Id="rId39" Target="https://patfleming.github.io/LccFusionProject/node-clusters/" TargetMode="External" /><Relationship Type="http://schemas.openxmlformats.org/officeDocument/2006/relationships/hyperlink" Id="rId35" Target="https://patfleming.github.io/LccFusionProject/node-power-planning-guide/" TargetMode="External" /><Relationship Type="http://schemas.openxmlformats.org/officeDocument/2006/relationships/hyperlink" Id="rId33" Target="https://patfleming.github.io/LccFusionProject/planners-guides/" TargetMode="External" /><Relationship Type="http://schemas.openxmlformats.org/officeDocument/2006/relationships/hyperlink" Id="rId37" Target="https://patfleming.github.io/LccFusionProject/wired-node-to-node-planning-guide/" TargetMode="External" /><Relationship Type="http://schemas.openxmlformats.org/officeDocument/2006/relationships/hyperlink" Id="rId38" Target="https://patfleming.github.io/LccFusionProject/wireless-node-to-node-planning-guid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patfleming.github.io/LccFusionPosts/podcast-card-basics/" TargetMode="External" /><Relationship Type="http://schemas.openxmlformats.org/officeDocument/2006/relationships/hyperlink" Id="rId44" Target="https://patfleming.github.io/LccFusionPosts/podcast-hardware-architecture-overview/" TargetMode="External" /><Relationship Type="http://schemas.openxmlformats.org/officeDocument/2006/relationships/hyperlink" Id="rId43" Target="https://patfleming.github.io/LccFusionPosts/understanding-lcc-fusion/" TargetMode="External" /><Relationship Type="http://schemas.openxmlformats.org/officeDocument/2006/relationships/hyperlink" Id="rId42" Target="https://patfleming.github.io/LccFusionProject/cdi-configuration-tool-installation-guide/" TargetMode="External" /><Relationship Type="http://schemas.openxmlformats.org/officeDocument/2006/relationships/hyperlink" Id="rId41" Target="https://patfleming.github.io/LccFusionProject/configurators-guides/" TargetMode="External" /><Relationship Type="http://schemas.openxmlformats.org/officeDocument/2006/relationships/hyperlink" Id="rId34" Target="https://patfleming.github.io/LccFusionProject/getting-started/" TargetMode="External" /><Relationship Type="http://schemas.openxmlformats.org/officeDocument/2006/relationships/hyperlink" Id="rId36" Target="https://patfleming.github.io/LccFusionProject/multi-node-planning-guide/" TargetMode="External" /><Relationship Type="http://schemas.openxmlformats.org/officeDocument/2006/relationships/hyperlink" Id="rId40" Target="https://patfleming.github.io/LccFusionProject/node-bus-hub-installation-guide/" TargetMode="External" /><Relationship Type="http://schemas.openxmlformats.org/officeDocument/2006/relationships/hyperlink" Id="rId39" Target="https://patfleming.github.io/LccFusionProject/node-clusters/" TargetMode="External" /><Relationship Type="http://schemas.openxmlformats.org/officeDocument/2006/relationships/hyperlink" Id="rId35" Target="https://patfleming.github.io/LccFusionProject/node-power-planning-guide/" TargetMode="External" /><Relationship Type="http://schemas.openxmlformats.org/officeDocument/2006/relationships/hyperlink" Id="rId33" Target="https://patfleming.github.io/LccFusionProject/planners-guides/" TargetMode="External" /><Relationship Type="http://schemas.openxmlformats.org/officeDocument/2006/relationships/hyperlink" Id="rId37" Target="https://patfleming.github.io/LccFusionProject/wired-node-to-node-planning-guide/" TargetMode="External" /><Relationship Type="http://schemas.openxmlformats.org/officeDocument/2006/relationships/hyperlink" Id="rId38" Target="https://patfleming.github.io/LccFusionProject/wireless-node-to-node-planning-gui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Siding</dc:title>
  <dc:creator>Pat Fleming</dc:creator>
  <dc:language>en-US</dc:language>
  <cp:keywords/>
  <dcterms:created xsi:type="dcterms:W3CDTF">2026-01-11T23:37:44Z</dcterms:created>
  <dcterms:modified xsi:type="dcterms:W3CDTF">2026-01-11T23:37:44Z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">
    <vt:lpwstr>© 2024–25 Pat Fleming</vt:lpwstr>
  </property>
  <property fmtid="{D5CDD505-2E9C-101B-9397-08002B2CF9AE}" pid="3" name="subtitle">
    <vt:lpwstr>LCC Fusion Project</vt:lpwstr>
  </property>
</Properties>
</file>